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7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10,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Artisan Partners Asset Management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32"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2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001-35826</w:t>
            </w:r>
          </w:p>
        </w:tc>
        <w:tc>
          <w:tcPr>
            <w:tcW w:w="160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45-0969585</w:t>
            </w:r>
          </w:p>
        </w:tc>
      </w:tr>
      <w:tr>
        <w:trPr>
          <w:trHeight w:val="179"/>
        </w:trPr>
        <w:tc>
          <w:tcPr>
            <w:tcW w:w="2220" w:type="dxa"/>
            <w:vAlign w:val="bottom"/>
          </w:tcPr>
          <w:p>
            <w:pPr>
              <w:jc w:val="center"/>
              <w:ind w:right="119"/>
              <w:spacing w:after="0" w:line="179"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040" w:type="dxa"/>
            <w:vAlign w:val="bottom"/>
          </w:tcPr>
          <w:p>
            <w:pPr>
              <w:jc w:val="center"/>
              <w:ind w:right="139"/>
              <w:spacing w:after="0" w:line="179"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600" w:type="dxa"/>
            <w:vAlign w:val="bottom"/>
          </w:tcPr>
          <w:p>
            <w:pPr>
              <w:jc w:val="center"/>
              <w:ind w:left="339"/>
              <w:spacing w:after="0" w:line="179" w:lineRule="exact"/>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12"/>
        </w:trPr>
        <w:tc>
          <w:tcPr>
            <w:tcW w:w="2220" w:type="dxa"/>
            <w:vAlign w:val="bottom"/>
          </w:tcPr>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3040" w:type="dxa"/>
            <w:vAlign w:val="bottom"/>
          </w:tcPr>
          <w:p>
            <w:pPr>
              <w:spacing w:after="0"/>
              <w:rPr>
                <w:sz w:val="18"/>
                <w:szCs w:val="18"/>
                <w:color w:val="auto"/>
              </w:rPr>
            </w:pPr>
          </w:p>
        </w:tc>
        <w:tc>
          <w:tcPr>
            <w:tcW w:w="1600" w:type="dxa"/>
            <w:vAlign w:val="bottom"/>
          </w:tcPr>
          <w:p>
            <w:pPr>
              <w:jc w:val="center"/>
              <w:ind w:left="339"/>
              <w:spacing w:after="0"/>
              <w:rPr>
                <w:sz w:val="20"/>
                <w:szCs w:val="20"/>
                <w:color w:val="auto"/>
              </w:rPr>
            </w:pPr>
            <w:r>
              <w:rPr>
                <w:rFonts w:ascii="Times New Roman" w:cs="Times New Roman" w:eastAsia="Times New Roman" w:hAnsi="Times New Roman"/>
                <w:sz w:val="16"/>
                <w:szCs w:val="16"/>
                <w:i w:val="1"/>
                <w:iCs w:val="1"/>
                <w:color w:val="auto"/>
                <w:w w:val="99"/>
              </w:rPr>
              <w:t>Identification No.)</w:t>
            </w:r>
          </w:p>
        </w:tc>
      </w:tr>
      <w:tr>
        <w:trPr>
          <w:trHeight w:val="341"/>
        </w:trPr>
        <w:tc>
          <w:tcPr>
            <w:tcW w:w="2220" w:type="dxa"/>
            <w:vAlign w:val="bottom"/>
          </w:tcPr>
          <w:p>
            <w:pPr>
              <w:spacing w:after="0"/>
              <w:rPr>
                <w:sz w:val="24"/>
                <w:szCs w:val="24"/>
                <w:color w:val="auto"/>
              </w:rPr>
            </w:pPr>
          </w:p>
        </w:tc>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875 E. Wisconsin Avenue, Suite 800</w:t>
            </w:r>
          </w:p>
        </w:tc>
        <w:tc>
          <w:tcPr>
            <w:tcW w:w="160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Milwaukee, WI 53202</w:t>
            </w:r>
          </w:p>
        </w:tc>
        <w:tc>
          <w:tcPr>
            <w:tcW w:w="1600" w:type="dxa"/>
            <w:vAlign w:val="bottom"/>
          </w:tcPr>
          <w:p>
            <w:pPr>
              <w:spacing w:after="0"/>
              <w:rPr>
                <w:sz w:val="18"/>
                <w:szCs w:val="18"/>
                <w:color w:val="auto"/>
              </w:rPr>
            </w:pPr>
          </w:p>
        </w:tc>
      </w:tr>
    </w:tbl>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and zip</w:t>
      </w:r>
    </w:p>
    <w:p>
      <w:pPr>
        <w:jc w:val="center"/>
        <w:spacing w:after="0"/>
        <w:rPr>
          <w:sz w:val="20"/>
          <w:szCs w:val="20"/>
          <w:color w:val="auto"/>
        </w:rPr>
      </w:pPr>
      <w:r>
        <w:rPr>
          <w:rFonts w:ascii="Times New Roman" w:cs="Times New Roman" w:eastAsia="Times New Roman" w:hAnsi="Times New Roman"/>
          <w:sz w:val="16"/>
          <w:szCs w:val="16"/>
          <w:i w:val="1"/>
          <w:iCs w:val="1"/>
          <w:color w:val="auto"/>
        </w:rPr>
        <w:t>code)</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(414) 390-6100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26" w:lineRule="exact"/>
        <w:rPr>
          <w:sz w:val="24"/>
          <w:szCs w:val="24"/>
          <w:color w:val="auto"/>
        </w:rPr>
      </w:pPr>
    </w:p>
    <w:p>
      <w:pPr>
        <w:ind w:left="80"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Trading Symbol</w:t>
            </w: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1"/>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0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APAM</w:t>
            </w:r>
          </w:p>
        </w:tc>
        <w:tc>
          <w:tcPr>
            <w:tcW w:w="12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13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1341755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sectPr>
      </w:pPr>
    </w:p>
    <w:bookmarkStart w:id="1" w:name="page2"/>
    <w:bookmarkEnd w:id="1"/>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April 10, 2026, Artisan Partners Asset Management Inc. (the “Company”) issued a press release reporting certain information about the Company’s preliminary assets under management as of March 31, 2026. A copy of the press release is attached hereto as Exhibit 99.1 and is incorporated herein by reference.</w:t>
      </w:r>
    </w:p>
    <w:p>
      <w:pPr>
        <w:spacing w:after="0" w:line="6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information in this Item 8.01, including the exhibit incorporated herein by reference, shall be deemed “filed” for purposes of the Securities Exchange Act of 1934, as amended, and shall be deemed incorporated by reference in the Company’s filings under the Securities Act of 1933, as amended.</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8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of Artisan Partners Asset Management Inc. dated April 10, 2026</w:t>
            </w:r>
          </w:p>
        </w:tc>
        <w:tc>
          <w:tcPr>
            <w:tcW w:w="4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60" w:hanging="820"/>
        <w:spacing w:after="0"/>
        <w:tabs>
          <w:tab w:leader="none" w:pos="1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2026</w:t>
      </w:r>
    </w:p>
    <w:p>
      <w:pPr>
        <w:spacing w:after="0" w:line="11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Charles J. Daley,</w:t>
      </w: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13335</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0"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Charles J. Daley, Jr.</w:t>
      </w:r>
    </w:p>
    <w:p>
      <w:pPr>
        <w:spacing w:after="0" w:line="1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Executive Vice</w:t>
      </w:r>
    </w:p>
    <w:p>
      <w:pPr>
        <w:ind w:left="6320"/>
        <w:spacing w:after="0" w:line="203" w:lineRule="auto"/>
        <w:rPr>
          <w:sz w:val="20"/>
          <w:szCs w:val="20"/>
          <w:color w:val="auto"/>
        </w:rPr>
      </w:pPr>
      <w:r>
        <w:rPr>
          <w:rFonts w:ascii="Times New Roman" w:cs="Times New Roman" w:eastAsia="Times New Roman" w:hAnsi="Times New Roman"/>
          <w:sz w:val="18"/>
          <w:szCs w:val="18"/>
          <w:color w:val="auto"/>
        </w:rPr>
        <w:t>President, Chief</w:t>
      </w:r>
    </w:p>
    <w:p>
      <w:pPr>
        <w:ind w:left="6320"/>
        <w:spacing w:after="0" w:line="219" w:lineRule="auto"/>
        <w:rPr>
          <w:sz w:val="20"/>
          <w:szCs w:val="20"/>
          <w:color w:val="auto"/>
        </w:rPr>
      </w:pPr>
      <w:r>
        <w:rPr>
          <w:rFonts w:ascii="Times New Roman" w:cs="Times New Roman" w:eastAsia="Times New Roman" w:hAnsi="Times New Roman"/>
          <w:sz w:val="18"/>
          <w:szCs w:val="18"/>
          <w:color w:val="auto"/>
        </w:rPr>
        <w:t>Financial Officer</w:t>
      </w:r>
    </w:p>
    <w:p>
      <w:pPr>
        <w:spacing w:after="0" w:line="1"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tab/>
        <w:t>and Treasurer</w:t>
      </w:r>
    </w:p>
    <w:p>
      <w:pPr>
        <w:sectPr>
          <w:pgSz w:w="11900" w:h="16838" w:orient="portrait"/>
          <w:cols w:equalWidth="0" w:num="1">
            <w:col w:w="11200"/>
          </w:cols>
          <w:pgMar w:left="320" w:top="765" w:right="379" w:bottom="1440" w:gutter="0" w:footer="0" w:header="0"/>
        </w:sectPr>
      </w:pPr>
    </w:p>
    <w:bookmarkStart w:id="3" w:name="page4"/>
    <w:bookmarkEnd w:id="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846445"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3723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Artisan Partners Asset Management Inc. Reports March 2026 Assets Under Management</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Milwaukee, WI - April 10, 2026 - Artisan Partners Asset Management Inc. (NYSE: APAM) today reported that its preliminary assets under management ("AUM") as of March 31, 2026 totaled $173.0 billion. Artisan Funds and Artisan Global Funds accounted for $84.5 billion of total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firm AUM, while separate accounts and other AUM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accounted for $88.5 billion.</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PRELIMINARY ASSETS UNDER MANAGEMENT BY STRATEGY</w:t>
      </w:r>
      <w:r>
        <w:rPr>
          <w:rFonts w:ascii="Arial" w:cs="Arial" w:eastAsia="Arial" w:hAnsi="Arial"/>
          <w:sz w:val="23"/>
          <w:szCs w:val="23"/>
          <w:color w:val="auto"/>
          <w:vertAlign w:val="superscript"/>
        </w:rPr>
        <w:t>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March 31, 2026 -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FFFFFF"/>
        </w:rPr>
        <w:t>Growth Team</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Opportunities</w:t>
            </w:r>
          </w:p>
        </w:tc>
        <w:tc>
          <w:tcPr>
            <w:tcW w:w="220" w:type="dxa"/>
            <w:vAlign w:val="bottom"/>
            <w:tcBorders>
              <w:top w:val="single" w:sz="8" w:color="999999"/>
              <w:bottom w:val="single" w:sz="8" w:color="999999"/>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999999"/>
              <w:bottom w:val="single" w:sz="8" w:color="999999"/>
            </w:tcBorders>
          </w:tcPr>
          <w:p>
            <w:pPr>
              <w:jc w:val="right"/>
              <w:ind w:right="1030"/>
              <w:spacing w:after="0"/>
              <w:rPr>
                <w:sz w:val="20"/>
                <w:szCs w:val="20"/>
                <w:color w:val="auto"/>
              </w:rPr>
            </w:pPr>
            <w:r>
              <w:rPr>
                <w:rFonts w:ascii="Arial" w:cs="Arial" w:eastAsia="Arial" w:hAnsi="Arial"/>
                <w:sz w:val="18"/>
                <w:szCs w:val="18"/>
                <w:color w:val="auto"/>
              </w:rPr>
              <w:t>14,340</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Discovery</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1,026</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U.S. Mid-Cap Growth</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9,364</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U.S. Small-Cap Growth</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2,642</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Franchise</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911</w:t>
            </w:r>
          </w:p>
        </w:tc>
      </w:tr>
      <w:tr>
        <w:trPr>
          <w:trHeight w:val="243"/>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Global Equity Team</w:t>
            </w:r>
          </w:p>
        </w:tc>
        <w:tc>
          <w:tcPr>
            <w:tcW w:w="220" w:type="dxa"/>
            <w:vAlign w:val="bottom"/>
            <w:shd w:val="clear" w:color="auto" w:fill="999999"/>
          </w:tcPr>
          <w:p>
            <w:pPr>
              <w:spacing w:after="0"/>
              <w:rPr>
                <w:sz w:val="21"/>
                <w:szCs w:val="21"/>
                <w:color w:val="auto"/>
              </w:rPr>
            </w:pPr>
          </w:p>
        </w:tc>
        <w:tc>
          <w:tcPr>
            <w:tcW w:w="1880" w:type="dxa"/>
            <w:vAlign w:val="bottom"/>
            <w:shd w:val="clear" w:color="auto" w:fill="999999"/>
          </w:tcPr>
          <w:p>
            <w:pPr>
              <w:spacing w:after="0"/>
              <w:rPr>
                <w:sz w:val="21"/>
                <w:szCs w:val="21"/>
                <w:color w:val="auto"/>
              </w:rPr>
            </w:pPr>
          </w:p>
        </w:tc>
      </w:tr>
      <w:tr>
        <w:trPr>
          <w:trHeight w:val="229"/>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Equity</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393</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Non-U.S. Growth</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15,456</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U.S. Value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Value Equity</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5,600</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U.S. Mid-Cap Value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1,898</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Value Income</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8</w:t>
            </w:r>
          </w:p>
        </w:tc>
      </w:tr>
      <w:tr>
        <w:trPr>
          <w:trHeight w:val="230"/>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International Value Group</w:t>
            </w:r>
          </w:p>
        </w:tc>
        <w:tc>
          <w:tcPr>
            <w:tcW w:w="220" w:type="dxa"/>
            <w:vAlign w:val="bottom"/>
            <w:shd w:val="clear" w:color="auto" w:fill="999999"/>
          </w:tcPr>
          <w:p>
            <w:pPr>
              <w:spacing w:after="0"/>
              <w:rPr>
                <w:sz w:val="19"/>
                <w:szCs w:val="19"/>
                <w:color w:val="auto"/>
              </w:rPr>
            </w:pPr>
          </w:p>
        </w:tc>
        <w:tc>
          <w:tcPr>
            <w:tcW w:w="1880" w:type="dxa"/>
            <w:vAlign w:val="bottom"/>
            <w:shd w:val="clear" w:color="auto" w:fill="999999"/>
          </w:tcPr>
          <w:p>
            <w:pPr>
              <w:spacing w:after="0"/>
              <w:rPr>
                <w:sz w:val="19"/>
                <w:szCs w:val="19"/>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International Value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50,680</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International Explorer</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1,027</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Global Special Situations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36</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Global Value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Value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34,861</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Select Equity</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943</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Sustainable Emerging Markets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Sustainable Emerging Markets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2,781</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Credit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High Income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13,543</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Credit Opportunities</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372</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Floating Rate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124</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Custom Credit Solutions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1,491</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Developing World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Developing World</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3,145</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Antero Peak Group</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Antero Peak</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2,129</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Antero Peak Hedge</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217</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International Small-Mid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29"/>
        </w:trPr>
        <w:tc>
          <w:tcPr>
            <w:tcW w:w="9140" w:type="dxa"/>
            <w:vAlign w:val="bottom"/>
          </w:tcPr>
          <w:p>
            <w:pPr>
              <w:ind w:left="140"/>
              <w:spacing w:after="0"/>
              <w:rPr>
                <w:sz w:val="20"/>
                <w:szCs w:val="20"/>
                <w:color w:val="auto"/>
              </w:rPr>
            </w:pPr>
            <w:r>
              <w:rPr>
                <w:rFonts w:ascii="Arial" w:cs="Arial" w:eastAsia="Arial" w:hAnsi="Arial"/>
                <w:sz w:val="18"/>
                <w:szCs w:val="18"/>
                <w:color w:val="auto"/>
              </w:rPr>
              <w:t>Non-U.S. Small-Mid Growth</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4,332</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EMsights Capital Group</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Unconstrained</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1,523</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Emerging Markets Debt Opportunities</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1,402</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Emerging Markets Local Opportunities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1,838</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Grandview Property Partners</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line="230" w:lineRule="exact"/>
              <w:rPr>
                <w:sz w:val="20"/>
                <w:szCs w:val="20"/>
                <w:color w:val="auto"/>
              </w:rPr>
            </w:pPr>
            <w:r>
              <w:rPr>
                <w:rFonts w:ascii="Arial" w:cs="Arial" w:eastAsia="Arial" w:hAnsi="Arial"/>
                <w:sz w:val="18"/>
                <w:szCs w:val="18"/>
                <w:color w:val="auto"/>
              </w:rPr>
              <w:t>Grandview Property Partners</w:t>
            </w:r>
            <w:r>
              <w:rPr>
                <w:rFonts w:ascii="Arial" w:cs="Arial" w:eastAsia="Arial" w:hAnsi="Arial"/>
                <w:sz w:val="23"/>
                <w:szCs w:val="23"/>
                <w:color w:val="auto"/>
                <w:vertAlign w:val="superscript"/>
              </w:rPr>
              <w:t>3</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899</w:t>
            </w:r>
          </w:p>
        </w:tc>
      </w:tr>
      <w:tr>
        <w:trPr>
          <w:trHeight w:val="34"/>
        </w:trPr>
        <w:tc>
          <w:tcPr>
            <w:tcW w:w="9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2"/>
        </w:trPr>
        <w:tc>
          <w:tcPr>
            <w:tcW w:w="9140" w:type="dxa"/>
            <w:vAlign w:val="bottom"/>
          </w:tcPr>
          <w:p>
            <w:pPr>
              <w:ind w:left="140"/>
              <w:spacing w:after="0"/>
              <w:rPr>
                <w:sz w:val="20"/>
                <w:szCs w:val="20"/>
                <w:color w:val="auto"/>
              </w:rPr>
            </w:pPr>
            <w:r>
              <w:rPr>
                <w:rFonts w:ascii="Arial" w:cs="Arial" w:eastAsia="Arial" w:hAnsi="Arial"/>
                <w:sz w:val="18"/>
                <w:szCs w:val="18"/>
                <w:color w:val="auto"/>
              </w:rPr>
              <w:t>Total Firm Assets Under Management ("AUM")</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172,981</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5846445"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677545"/>
                    </a:xfrm>
                    <a:prstGeom prst="rect">
                      <a:avLst/>
                    </a:prstGeom>
                    <a:noFill/>
                  </pic:spPr>
                </pic:pic>
              </a:graphicData>
            </a:graphic>
          </wp:anchor>
        </w:drawing>
      </w:r>
    </w:p>
    <w:p>
      <w:pPr>
        <w:ind w:right="300" w:firstLine="8"/>
        <w:spacing w:after="0" w:line="232" w:lineRule="auto"/>
        <w:tabs>
          <w:tab w:leader="none" w:pos="8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Separate account and other AUM consists of the assets we manage in or through vehicles other than Artisan Funds or Artisan Global Funds. Separate account and other AUM includes assets we manage in traditional separate accounts, as well as assets we manage in Artisan-branded collective investment trusts, and in our own private funds.</w:t>
      </w:r>
    </w:p>
    <w:p>
      <w:pPr>
        <w:ind w:right="860"/>
        <w:spacing w:after="0" w:line="234"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AUM includes $313.9 million in aggregate for which Artisan Partners provides investment models to managed account sponsors (generally reported on a lag not exceeding one quarter). </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Represents NAV plus uncalled and recallable capital.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ABOUT ARTISAN PARTNERS</w:t>
      </w:r>
    </w:p>
    <w:p>
      <w:pPr>
        <w:spacing w:after="0" w:line="223" w:lineRule="auto"/>
        <w:rPr>
          <w:sz w:val="20"/>
          <w:szCs w:val="20"/>
          <w:color w:val="auto"/>
        </w:rPr>
      </w:pPr>
      <w:r>
        <w:rPr>
          <w:rFonts w:ascii="Arial" w:cs="Arial" w:eastAsia="Arial" w:hAnsi="Arial"/>
          <w:sz w:val="16"/>
          <w:szCs w:val="16"/>
          <w:color w:val="auto"/>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Inquiries: 866.632.1770 or ir@artisanpartners.com</w:t>
      </w:r>
    </w:p>
    <w:p>
      <w:pPr>
        <w:spacing w:after="0"/>
        <w:rPr>
          <w:sz w:val="20"/>
          <w:szCs w:val="20"/>
          <w:color w:val="auto"/>
        </w:rPr>
      </w:pPr>
      <w:r>
        <w:rPr>
          <w:rFonts w:ascii="Arial" w:cs="Arial" w:eastAsia="Arial" w:hAnsi="Arial"/>
          <w:sz w:val="18"/>
          <w:szCs w:val="18"/>
          <w:color w:val="auto"/>
        </w:rPr>
        <w:t>Source: Artisan Partners Asset Management Inc.</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2026-04-10T15:40:28Z</dcterms:created>
  <dcterms:modified xsi:type="dcterms:W3CDTF">2026-04-10T15:40:28Z</dcterms:modified>
</cp:coreProperties>
</file>